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Arial" w:cs="Arial" w:hAnsi="Arial" w:eastAsia="Arial"/>
          <w:sz w:val="20"/>
          <w:szCs w:val="20"/>
        </w:rPr>
      </w:pPr>
    </w:p>
    <w:p>
      <w:pPr>
        <w:pStyle w:val="Footer"/>
        <w:pBdr>
          <w:top w:val="nil"/>
          <w:left w:val="nil"/>
          <w:bottom w:val="single" w:color="000000" w:sz="4" w:space="0" w:shadow="0" w:frame="0"/>
          <w:right w:val="nil"/>
        </w:pBdr>
        <w:tabs>
          <w:tab w:val="clear" w:pos="4680"/>
          <w:tab w:val="clear" w:pos="9360"/>
        </w:tabs>
        <w:rPr>
          <w:rFonts w:ascii="Arial" w:cs="Arial" w:hAnsi="Arial" w:eastAsia="Arial"/>
          <w:sz w:val="14"/>
          <w:szCs w:val="14"/>
        </w:rPr>
      </w:pPr>
      <w:r>
        <w:rPr>
          <w:rFonts w:ascii="Arial" w:hAnsi="Arial"/>
          <w:sz w:val="36"/>
          <w:szCs w:val="36"/>
          <w:rtl w:val="0"/>
          <w:lang w:val="en-US"/>
        </w:rPr>
        <w:t>University of Phoenix Material</w:t>
      </w:r>
      <w:r>
        <w:rPr>
          <w:rFonts w:ascii="Arial" w:cs="Arial" w:hAnsi="Arial" w:eastAsia="Arial"/>
          <w:sz w:val="14"/>
          <w:szCs w:val="14"/>
        </w:rPr>
        <w:tab/>
      </w:r>
    </w:p>
    <w:p>
      <w:pPr>
        <w:pStyle w:val="Title"/>
        <w:jc w:val="center"/>
        <w:rPr>
          <w:rFonts w:ascii="Arial" w:cs="Arial" w:hAnsi="Arial" w:eastAsia="Arial"/>
          <w:b w:val="1"/>
          <w:bCs w:val="1"/>
          <w:i w:val="1"/>
          <w:iCs w:val="1"/>
          <w:sz w:val="24"/>
          <w:szCs w:val="24"/>
        </w:rPr>
      </w:pPr>
      <w:r>
        <w:rPr>
          <w:rFonts w:ascii="Arial" w:hAnsi="Arial"/>
          <w:b w:val="1"/>
          <w:bCs w:val="1"/>
          <w:i w:val="1"/>
          <w:iCs w:val="1"/>
          <w:sz w:val="24"/>
          <w:szCs w:val="24"/>
          <w:rtl w:val="0"/>
          <w:lang w:val="en-US"/>
        </w:rPr>
        <w:t>John Allen Scenario</w:t>
      </w:r>
    </w:p>
    <w:p>
      <w:pPr>
        <w:pStyle w:val="Normal.0"/>
        <w:rPr>
          <w:rFonts w:ascii="Arial" w:cs="Arial" w:hAnsi="Arial" w:eastAsia="Arial"/>
          <w:b w:val="1"/>
          <w:bCs w:val="1"/>
          <w:sz w:val="20"/>
          <w:szCs w:val="20"/>
        </w:rPr>
      </w:pPr>
      <w:r>
        <w:rPr>
          <w:rFonts w:ascii="Arial" w:hAnsi="Arial"/>
          <w:b w:val="1"/>
          <w:bCs w:val="1"/>
          <w:sz w:val="20"/>
          <w:szCs w:val="20"/>
          <w:rtl w:val="0"/>
          <w:lang w:val="en-US"/>
        </w:rPr>
        <w:t>Part 1:</w:t>
      </w:r>
      <w:r>
        <w:rPr>
          <w:rFonts w:ascii="Arial" w:hAnsi="Arial"/>
          <w:sz w:val="20"/>
          <w:szCs w:val="20"/>
          <w:rtl w:val="0"/>
          <w:lang w:val="en-US"/>
        </w:rPr>
        <w:t xml:space="preserve"> </w:t>
      </w:r>
    </w:p>
    <w:p>
      <w:pPr>
        <w:pStyle w:val="Normal.0"/>
        <w:rPr>
          <w:rFonts w:ascii="Arial" w:cs="Arial" w:hAnsi="Arial" w:eastAsia="Arial"/>
          <w:sz w:val="20"/>
          <w:szCs w:val="20"/>
        </w:rPr>
      </w:pPr>
      <w:r>
        <w:rPr>
          <w:rFonts w:ascii="Arial" w:hAnsi="Arial"/>
          <w:b w:val="1"/>
          <w:bCs w:val="1"/>
          <w:sz w:val="20"/>
          <w:szCs w:val="20"/>
          <w:rtl w:val="0"/>
          <w:lang w:val="en-US"/>
        </w:rPr>
        <w:t>Complete</w:t>
      </w:r>
      <w:r>
        <w:rPr>
          <w:rFonts w:ascii="Arial" w:hAnsi="Arial"/>
          <w:sz w:val="20"/>
          <w:szCs w:val="20"/>
          <w:rtl w:val="0"/>
          <w:lang w:val="en-US"/>
        </w:rPr>
        <w:t xml:space="preserve"> the following matrix as a team.</w:t>
      </w:r>
    </w:p>
    <w:p>
      <w:pPr>
        <w:pStyle w:val="Normal.0"/>
        <w:rPr>
          <w:rFonts w:ascii="Arial" w:cs="Arial" w:hAnsi="Arial" w:eastAsia="Arial"/>
          <w:sz w:val="20"/>
          <w:szCs w:val="20"/>
        </w:rPr>
      </w:pPr>
      <w:r>
        <w:rPr>
          <w:rFonts w:ascii="Arial" w:hAnsi="Arial"/>
          <w:b w:val="1"/>
          <w:bCs w:val="1"/>
          <w:sz w:val="20"/>
          <w:szCs w:val="20"/>
          <w:rtl w:val="0"/>
          <w:lang w:val="en-US"/>
        </w:rPr>
        <w:t xml:space="preserve">Imagine </w:t>
      </w:r>
      <w:r>
        <w:rPr>
          <w:rFonts w:ascii="Arial" w:hAnsi="Arial"/>
          <w:sz w:val="20"/>
          <w:szCs w:val="20"/>
          <w:rtl w:val="0"/>
          <w:lang w:val="en-US"/>
        </w:rPr>
        <w:t xml:space="preserve">that the individual described below is a family member, and you are responsible for his or her care. Using the table, you must identify what benefits, services, or agencies you would seek out or choose for the individual at each unique stage of his or her life. Consider what is available locally as well as what may be available in other parts of the state or country. </w:t>
      </w:r>
    </w:p>
    <w:tbl>
      <w:tblPr>
        <w:tblW w:w="1299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98"/>
        <w:gridCol w:w="2598"/>
        <w:gridCol w:w="2597"/>
        <w:gridCol w:w="2599"/>
        <w:gridCol w:w="2598"/>
      </w:tblGrid>
      <w:tr>
        <w:tblPrEx>
          <w:shd w:val="clear" w:color="auto" w:fill="ced7e7"/>
        </w:tblPrEx>
        <w:trPr>
          <w:trHeight w:val="22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 xml:space="preserve">Individual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1</w:t>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2</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3</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4</w:t>
            </w:r>
          </w:p>
        </w:tc>
      </w:tr>
      <w:tr>
        <w:tblPrEx>
          <w:shd w:val="clear" w:color="auto" w:fill="ced7e7"/>
        </w:tblPrEx>
        <w:trPr>
          <w:trHeight w:val="528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eeaf6"/>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John Allen</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John is an infant less than one year old. He was born prematurely and will need additional health care once he is cleared to return home. John</w:t>
            </w:r>
            <w:r>
              <w:rPr>
                <w:rFonts w:ascii="Arial" w:hAnsi="Arial" w:hint="default"/>
                <w:sz w:val="20"/>
                <w:szCs w:val="20"/>
                <w:rtl w:val="0"/>
                <w:lang w:val="en-US"/>
              </w:rPr>
              <w:t>’</w:t>
            </w:r>
            <w:r>
              <w:rPr>
                <w:rFonts w:ascii="Arial" w:hAnsi="Arial"/>
                <w:sz w:val="20"/>
                <w:szCs w:val="20"/>
                <w:rtl w:val="0"/>
                <w:lang w:val="en-US"/>
              </w:rPr>
              <w:t xml:space="preserve">s parents hold local jobs, and both are in their early twenties. Mr. Allen is attending a local community college, and Mrs. Allen works at Costco part-time and cleans homes as her secondary job. Neither Mr. nor Mrs. Allen have benefits such as health care insurance. </w:t>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 xml:space="preserve">John is now eight years old and was diagnosed with a learning disability. John also requires a special diet and needs to be fed through a special feeding tube inserted through his nose. He is not able to use the restroom on his own and requires assistance and diapers. </w:t>
            </w:r>
            <w:r>
              <w:rPr>
                <w:rFonts w:ascii="Arial" w:cs="Arial" w:hAnsi="Arial" w:eastAsia="Arial"/>
                <w:sz w:val="20"/>
                <w:szCs w:val="20"/>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John went on a hunting trip with his father at age 15. Tragically, John was accidently shot in the stomach. He will require the use of a colostomy bag for the rest of his life.</w:t>
            </w:r>
            <w:r>
              <w:rPr>
                <w:rFonts w:ascii="Arial" w:cs="Arial" w:hAnsi="Arial" w:eastAsia="Arial"/>
                <w:sz w:val="20"/>
                <w:szCs w:val="20"/>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John is now 65 and at this point of his life, he is slowing down, becoming very forgetful, and is showing the signs of what his family thinks might be Alzheimer</w:t>
            </w:r>
            <w:r>
              <w:rPr>
                <w:rFonts w:ascii="Arial" w:hAnsi="Arial" w:hint="default"/>
                <w:sz w:val="20"/>
                <w:szCs w:val="20"/>
                <w:rtl w:val="0"/>
                <w:lang w:val="en-US"/>
              </w:rPr>
              <w:t>’</w:t>
            </w:r>
            <w:r>
              <w:rPr>
                <w:rFonts w:ascii="Arial" w:hAnsi="Arial"/>
                <w:sz w:val="20"/>
                <w:szCs w:val="20"/>
                <w:rtl w:val="0"/>
                <w:lang w:val="en-US"/>
              </w:rPr>
              <w:t>s disease. John has type 1 diabetes, high blood pressure, and developed Parkinson</w:t>
            </w:r>
            <w:r>
              <w:rPr>
                <w:rFonts w:ascii="Arial" w:hAnsi="Arial" w:hint="default"/>
                <w:sz w:val="20"/>
                <w:szCs w:val="20"/>
                <w:rtl w:val="0"/>
                <w:lang w:val="en-US"/>
              </w:rPr>
              <w:t>’</w:t>
            </w:r>
            <w:r>
              <w:rPr>
                <w:rFonts w:ascii="Arial" w:hAnsi="Arial"/>
                <w:sz w:val="20"/>
                <w:szCs w:val="20"/>
                <w:rtl w:val="0"/>
                <w:lang w:val="en-US"/>
              </w:rPr>
              <w:t xml:space="preserve">s disease. His family is considering placing Jonny in an assisted living facility because of his declining health. No one at home is trained or willing to help John. John was recently told he has about six months left to live according to his primary physician. John has never worked and has no financial means to support his medical needs. </w:t>
            </w:r>
          </w:p>
        </w:tc>
      </w:tr>
      <w:tr>
        <w:tblPrEx>
          <w:shd w:val="clear" w:color="auto" w:fill="ced7e7"/>
        </w:tblPrEx>
        <w:trPr>
          <w:trHeight w:val="26700"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eeaf6"/>
            <w:tcMar>
              <w:top w:type="dxa" w:w="80"/>
              <w:left w:type="dxa" w:w="80"/>
              <w:bottom w:type="dxa" w:w="80"/>
              <w:right w:type="dxa" w:w="80"/>
            </w:tcMar>
            <w:vAlign w:val="top"/>
          </w:tcPr>
          <w:p>
            <w:pPr>
              <w:pStyle w:val="Normal.0"/>
              <w:spacing w:after="0" w:line="24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Per stage, </w:t>
            </w:r>
            <w:r>
              <w:rPr>
                <w:rFonts w:ascii="Times New Roman" w:hAnsi="Times New Roman"/>
                <w:b w:val="1"/>
                <w:bCs w:val="1"/>
                <w:sz w:val="24"/>
                <w:szCs w:val="24"/>
                <w:rtl w:val="0"/>
                <w:lang w:val="en-US"/>
              </w:rPr>
              <w:t>write</w:t>
            </w:r>
            <w:r>
              <w:rPr>
                <w:rFonts w:ascii="Times New Roman" w:hAnsi="Times New Roman"/>
                <w:sz w:val="24"/>
                <w:szCs w:val="24"/>
                <w:rtl w:val="0"/>
                <w:lang w:val="en-US"/>
              </w:rPr>
              <w:t xml:space="preserve"> a 200- to 300-word explanation of the following:</w:t>
            </w:r>
          </w:p>
          <w:p>
            <w:pPr>
              <w:pStyle w:val="Normal.0"/>
              <w:numPr>
                <w:ilvl w:val="0"/>
                <w:numId w:val="1"/>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Potential benefits, services, and agencies you would seek out and choose for John</w:t>
            </w:r>
          </w:p>
          <w:p>
            <w:pPr>
              <w:pStyle w:val="Normal.0"/>
              <w:numPr>
                <w:ilvl w:val="0"/>
                <w:numId w:val="1"/>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Why did you make your choices? Provide rationale.</w:t>
            </w:r>
            <w:r>
              <w:rPr>
                <w:rFonts w:ascii="Times New Roman" w:cs="Times New Roman" w:hAnsi="Times New Roman" w:eastAsia="Times New Roman"/>
                <w:sz w:val="24"/>
                <w:szCs w:val="24"/>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Times New Roman" w:hAnsi="Times New Roman"/>
                <w:sz w:val="24"/>
                <w:szCs w:val="24"/>
                <w:rtl w:val="0"/>
                <w:lang w:val="en-US"/>
              </w:rPr>
              <w:t xml:space="preserve">With John being born prematurely and both parent having low income, he may be eligible for social security benefits. </w:t>
            </w:r>
            <w:r>
              <w:rPr>
                <w:rFonts w:ascii="Times New Roman" w:hAnsi="Times New Roman" w:hint="default"/>
                <w:sz w:val="24"/>
                <w:szCs w:val="24"/>
                <w:rtl w:val="0"/>
                <w:lang w:val="en-US"/>
              </w:rPr>
              <w:t>“</w:t>
            </w:r>
            <w:r>
              <w:rPr>
                <w:rFonts w:ascii="Times New Roman" w:hAnsi="Times New Roman"/>
                <w:sz w:val="24"/>
                <w:szCs w:val="24"/>
                <w:rtl w:val="0"/>
                <w:lang w:val="en-US"/>
              </w:rPr>
              <w:t>Social Security provides SSI disability benefits to certain infants of low birth weight, whether or not they were born prematurely. A child weighing less than 1,200 grams (about 2 pounds, 10 ounces) at birth or a child weighing between 1,200 and 2,000 grams (about 4 pounds, 6 ounces) at birth and considered small for his gestational age will generally qualify. Qualifying for this federal program also depends on your income and resources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(BabyCenter, 2019). Him receiving these benefits can help pay for his hospital stay, medical bills, and even for child care. If John qualifies for supplemental security income (SSI), he automatically qualifies for Medicare. Medicare is a </w:t>
            </w:r>
            <w:r>
              <w:rPr>
                <w:rFonts w:ascii="Times New Roman" w:hAnsi="Times New Roman" w:hint="default"/>
                <w:sz w:val="24"/>
                <w:szCs w:val="24"/>
                <w:rtl w:val="0"/>
                <w:lang w:val="en-US"/>
              </w:rPr>
              <w:t>“</w:t>
            </w:r>
            <w:r>
              <w:rPr>
                <w:rFonts w:ascii="Times New Roman" w:hAnsi="Times New Roman"/>
                <w:sz w:val="24"/>
                <w:szCs w:val="24"/>
                <w:rtl w:val="0"/>
                <w:lang w:val="en-US"/>
              </w:rPr>
              <w:t>joint federal and state program administered by your state can help with health care costs, even if you have health insurance. If you</w:t>
            </w:r>
            <w:r>
              <w:rPr>
                <w:rFonts w:ascii="Times New Roman" w:hAnsi="Times New Roman" w:hint="default"/>
                <w:sz w:val="24"/>
                <w:szCs w:val="24"/>
                <w:rtl w:val="0"/>
                <w:lang w:val="en-US"/>
              </w:rPr>
              <w:t>’</w:t>
            </w:r>
            <w:r>
              <w:rPr>
                <w:rFonts w:ascii="Times New Roman" w:hAnsi="Times New Roman"/>
                <w:sz w:val="24"/>
                <w:szCs w:val="24"/>
                <w:rtl w:val="0"/>
                <w:lang w:val="en-US"/>
              </w:rPr>
              <w:t>re enrolled in Medicaid and have private insurance, for instance, Medicaid may cover services that your private plan does not</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(BabyCenter, 2019). Being faced with this issue, I began seeking assistance for low income families with premature babies. </w:t>
            </w:r>
            <w:r>
              <w:rPr>
                <w:rFonts w:ascii="Times New Roman" w:hAnsi="Times New Roman" w:hint="default"/>
                <w:sz w:val="24"/>
                <w:szCs w:val="24"/>
                <w:rtl w:val="0"/>
                <w:lang w:val="en-US"/>
              </w:rPr>
              <w:t>“</w:t>
            </w:r>
            <w:r>
              <w:rPr>
                <w:rFonts w:ascii="Times New Roman" w:hAnsi="Times New Roman"/>
                <w:sz w:val="24"/>
                <w:szCs w:val="24"/>
                <w:rtl w:val="0"/>
                <w:lang w:val="en-US"/>
              </w:rPr>
              <w:t>PreemieCare is a non-profit organization dedicated to supporting families of infants born preterm through education, support, and resources. PreemieCare is a division of MOST (Mothers of Supertwins), Inc. a non- profit parenting organization that provides information, education, support and additional resources for families of multiples. The mission of PreemieCare is to educate, support and offer additional resources for families of babies born preterm</w:t>
            </w:r>
            <w:r>
              <w:rPr>
                <w:rFonts w:ascii="Times New Roman" w:hAnsi="Times New Roman" w:hint="default"/>
                <w:sz w:val="24"/>
                <w:szCs w:val="24"/>
                <w:rtl w:val="0"/>
                <w:lang w:val="en-US"/>
              </w:rPr>
              <w:t xml:space="preserve">” </w:t>
            </w:r>
            <w:r>
              <w:rPr>
                <w:rFonts w:ascii="Times New Roman" w:hAnsi="Times New Roman"/>
                <w:sz w:val="24"/>
                <w:szCs w:val="24"/>
                <w:rtl w:val="0"/>
                <w:lang w:val="en-US"/>
              </w:rPr>
              <w:t>(Healthfinder.gov., 2011).</w:t>
            </w:r>
            <w:r>
              <w:rPr>
                <w:rFonts w:ascii="Times New Roman" w:hAnsi="Times New Roman" w:hint="default"/>
                <w:sz w:val="24"/>
                <w:szCs w:val="24"/>
                <w:rtl w:val="0"/>
                <w:lang w:val="en-US"/>
              </w:rPr>
              <w:t xml:space="preserve">” </w:t>
            </w:r>
            <w:r>
              <w:rPr>
                <w:rFonts w:ascii="Times New Roman" w:hAnsi="Times New Roman"/>
                <w:sz w:val="24"/>
                <w:szCs w:val="24"/>
                <w:rtl w:val="0"/>
                <w:lang w:val="en-US"/>
              </w:rPr>
              <w:t>I made my choices because I have a friend who was in a similar situation with their child being born premature and these are the services that helped them. With the help of these services, John and his family can get the proper support and care that they need.</w:t>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Times New Roman" w:hAnsi="Times New Roman"/>
                <w:sz w:val="24"/>
                <w:szCs w:val="24"/>
                <w:rtl w:val="0"/>
                <w:lang w:val="en-US"/>
              </w:rPr>
              <w:t xml:space="preserve">The first step would be to get educated about the learning disability by joining the membership of Learning Disability Associations of Texas (LDA of Texas). According to Learning Disability Associations of America. (2019), </w:t>
            </w:r>
            <w:r>
              <w:rPr>
                <w:rFonts w:ascii="Times New Roman" w:hAnsi="Times New Roman" w:hint="default"/>
                <w:sz w:val="24"/>
                <w:szCs w:val="24"/>
                <w:rtl w:val="0"/>
                <w:lang w:val="en-US"/>
              </w:rPr>
              <w:t>“</w:t>
            </w:r>
            <w:r>
              <w:rPr>
                <w:rFonts w:ascii="Times New Roman" w:hAnsi="Times New Roman"/>
                <w:sz w:val="24"/>
                <w:szCs w:val="24"/>
                <w:rtl w:val="0"/>
                <w:lang w:val="en-US"/>
              </w:rPr>
              <w:t>The benefits that would be gained from LDA of Texas is awareness of learning disability, provide information and referral services and encourage early identification for appropriate instructions with learning disability.</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 benefits from LDA of Texas will include published newsletters with monthly virtual meet and greet. LDA of Texas will give parents (Family members) the tools needed to work effectively with a love one who is diagnosed with a learning disability. LDA of Texas will give services of emotional support for individuals and family members living with a learning disability. LDA purpose is to assist individuals with learning disabilities to reach their full potential. However, the ketogenic diet is much easier to manage for John tube-fed diet because it can be given with a special ketogenic formula. Lastly, I would hire an independent living special of the same gender as John that will be able to assist John with using the restroom at any given time. The reason for educating John and his parents on LDA of Texas is to help people with learning disability to reach their full potential. Also, it will give the families the support needed to work hard on making sure John work effectively with each other. In the reason for ketogenic diet is because it</w:t>
            </w:r>
            <w:r>
              <w:rPr>
                <w:rFonts w:ascii="Times New Roman" w:hAnsi="Times New Roman" w:hint="default"/>
                <w:sz w:val="24"/>
                <w:szCs w:val="24"/>
                <w:rtl w:val="0"/>
                <w:lang w:val="en-US"/>
              </w:rPr>
              <w:t>’</w:t>
            </w:r>
            <w:r>
              <w:rPr>
                <w:rFonts w:ascii="Times New Roman" w:hAnsi="Times New Roman"/>
                <w:sz w:val="24"/>
                <w:szCs w:val="24"/>
                <w:rtl w:val="0"/>
                <w:lang w:val="en-US"/>
              </w:rPr>
              <w:t xml:space="preserve">s safer for John parents to assist with feeding him via nose tube and not have to worry about measurements of food mistakes. Lastly, the independent living services will be beneficial for John to receive the best care and assistance when needing to use the restroom with twenty-four seven assistance available to John.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Times New Roman" w:hAnsi="Times New Roman"/>
                <w:sz w:val="24"/>
                <w:szCs w:val="24"/>
                <w:rtl w:val="0"/>
                <w:lang w:val="en-US"/>
              </w:rPr>
              <w:t>John would best benefit from United Ostomy Associations of America because it will provide him with specialized trained stoma care nurses that will be able to educate John on how to take care of colostomy. The specialized trained stoma care nurse will be able to address any issues that may arise for John with living his remaining life with using colostomy. The nurses are known as WOC which stand for wound, ostomy, and continence which benefits and provide services to john via the organization (agency) United Ostomy Associations of America, Inc (UOAA). United Ostomy Associations of America will offer John resource for ostomy care education, consultation, and troubleshooting. John will be able to consult high professional WOC nurses that will be able to assist with any questions related to colostomy and any potential issues that may arise John. UOAA also offers options that will help find john a local WOC nurse that</w:t>
            </w:r>
            <w:r>
              <w:rPr>
                <w:rFonts w:ascii="Times New Roman" w:hAnsi="Times New Roman" w:hint="default"/>
                <w:sz w:val="24"/>
                <w:szCs w:val="24"/>
                <w:rtl w:val="0"/>
                <w:lang w:val="en-US"/>
              </w:rPr>
              <w:t>’</w:t>
            </w:r>
            <w:r>
              <w:rPr>
                <w:rFonts w:ascii="Times New Roman" w:hAnsi="Times New Roman"/>
                <w:sz w:val="24"/>
                <w:szCs w:val="24"/>
                <w:rtl w:val="0"/>
                <w:lang w:val="en-US"/>
              </w:rPr>
              <w:t xml:space="preserve">s in John area to be better suit with assisting with helping John take good care of living with colostomy to avoid other health related problems from occurring. The reason I choice to seek help from United Ostomy Associations of America, INC is because it will offer John the resources, he needs to be able to take quality care of his colostomy with the help from a professional trained nurse of ostomy care also known as WOC nurse.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Times New Roman" w:hAnsi="Times New Roman"/>
                <w:sz w:val="24"/>
                <w:szCs w:val="24"/>
                <w:rtl w:val="0"/>
                <w:lang w:val="en-US"/>
              </w:rPr>
              <w:t xml:space="preserve">John now qualifies for Medicare coverage, as of the first day of the month when he turned 65 (Centers for Medicare &amp; Medicaid Services, 2019). Medicare will assist in covering approximately 80% of the cost of his care needs. Also available to John, due to his terminal diagnosis, is hospice care. </w:t>
            </w:r>
            <w:r>
              <w:rPr>
                <w:rFonts w:ascii="Times New Roman" w:hAnsi="Times New Roman" w:hint="default"/>
                <w:sz w:val="24"/>
                <w:szCs w:val="24"/>
                <w:rtl w:val="0"/>
                <w:lang w:val="en-US"/>
              </w:rPr>
              <w:t>“</w:t>
            </w:r>
            <w:r>
              <w:rPr>
                <w:rFonts w:ascii="Times New Roman" w:hAnsi="Times New Roman"/>
                <w:sz w:val="24"/>
                <w:szCs w:val="24"/>
                <w:rtl w:val="0"/>
                <w:lang w:val="en-US"/>
              </w:rPr>
              <w:t>Hospice offers comprehensive, state-of-the-art care and support for persons with life-limiting illnesses and those who love them (American Hospice Foundation, n.d.).</w:t>
            </w:r>
            <w:r>
              <w:rPr>
                <w:rFonts w:ascii="Times New Roman" w:hAnsi="Times New Roman" w:hint="default"/>
                <w:sz w:val="24"/>
                <w:szCs w:val="24"/>
                <w:rtl w:val="0"/>
                <w:lang w:val="en-US"/>
              </w:rPr>
              <w:t xml:space="preserve">” </w:t>
            </w:r>
            <w:r>
              <w:rPr>
                <w:rFonts w:ascii="Times New Roman" w:hAnsi="Times New Roman"/>
                <w:sz w:val="24"/>
                <w:szCs w:val="24"/>
                <w:rtl w:val="0"/>
                <w:lang w:val="en-US"/>
              </w:rPr>
              <w:t>Hospice will address the physical care needs that John is experiencing while managing the pain associated with his Parkinson</w:t>
            </w:r>
            <w:r>
              <w:rPr>
                <w:rFonts w:ascii="Times New Roman" w:hAnsi="Times New Roman" w:hint="default"/>
                <w:sz w:val="24"/>
                <w:szCs w:val="24"/>
                <w:rtl w:val="0"/>
                <w:lang w:val="en-US"/>
              </w:rPr>
              <w:t>’</w:t>
            </w:r>
            <w:r>
              <w:rPr>
                <w:rFonts w:ascii="Times New Roman" w:hAnsi="Times New Roman"/>
                <w:sz w:val="24"/>
                <w:szCs w:val="24"/>
                <w:rtl w:val="0"/>
                <w:lang w:val="en-US"/>
              </w:rPr>
              <w:t>s Disease, Diabetes and co-existing conditions. Hospice will also be able to provide emotional support for John as he learns to live with his terminal diagnosis, as well as for his family in preparing for John</w:t>
            </w:r>
            <w:r>
              <w:rPr>
                <w:rFonts w:ascii="Times New Roman" w:hAnsi="Times New Roman" w:hint="default"/>
                <w:sz w:val="24"/>
                <w:szCs w:val="24"/>
                <w:rtl w:val="0"/>
                <w:lang w:val="en-US"/>
              </w:rPr>
              <w:t>’</w:t>
            </w:r>
            <w:r>
              <w:rPr>
                <w:rFonts w:ascii="Times New Roman" w:hAnsi="Times New Roman"/>
                <w:sz w:val="24"/>
                <w:szCs w:val="24"/>
                <w:rtl w:val="0"/>
                <w:lang w:val="en-US"/>
              </w:rPr>
              <w:t>s six months to live. John and his family may also benefit from attendance at a Parkinson</w:t>
            </w:r>
            <w:r>
              <w:rPr>
                <w:rFonts w:ascii="Times New Roman" w:hAnsi="Times New Roman" w:hint="default"/>
                <w:sz w:val="24"/>
                <w:szCs w:val="24"/>
                <w:rtl w:val="0"/>
                <w:lang w:val="en-US"/>
              </w:rPr>
              <w:t>’</w:t>
            </w:r>
            <w:r>
              <w:rPr>
                <w:rFonts w:ascii="Times New Roman" w:hAnsi="Times New Roman"/>
                <w:sz w:val="24"/>
                <w:szCs w:val="24"/>
                <w:rtl w:val="0"/>
                <w:lang w:val="en-US"/>
              </w:rPr>
              <w:t>s support group. Parkinson</w:t>
            </w:r>
            <w:r>
              <w:rPr>
                <w:rFonts w:ascii="Times New Roman" w:hAnsi="Times New Roman" w:hint="default"/>
                <w:sz w:val="24"/>
                <w:szCs w:val="24"/>
                <w:rtl w:val="0"/>
                <w:lang w:val="en-US"/>
              </w:rPr>
              <w:t>’</w:t>
            </w:r>
            <w:r>
              <w:rPr>
                <w:rFonts w:ascii="Times New Roman" w:hAnsi="Times New Roman"/>
                <w:sz w:val="24"/>
                <w:szCs w:val="24"/>
                <w:rtl w:val="0"/>
                <w:lang w:val="en-US"/>
              </w:rPr>
              <w:t>s support groups not only provide support and strategies for person</w:t>
            </w:r>
            <w:r>
              <w:rPr>
                <w:rFonts w:ascii="Times New Roman" w:hAnsi="Times New Roman" w:hint="default"/>
                <w:sz w:val="24"/>
                <w:szCs w:val="24"/>
                <w:rtl w:val="0"/>
                <w:lang w:val="en-US"/>
              </w:rPr>
              <w:t>’</w:t>
            </w:r>
            <w:r>
              <w:rPr>
                <w:rFonts w:ascii="Times New Roman" w:hAnsi="Times New Roman"/>
                <w:sz w:val="24"/>
                <w:szCs w:val="24"/>
                <w:rtl w:val="0"/>
                <w:lang w:val="en-US"/>
              </w:rPr>
              <w:t>s living with Parkinson</w:t>
            </w:r>
            <w:r>
              <w:rPr>
                <w:rFonts w:ascii="Times New Roman" w:hAnsi="Times New Roman" w:hint="default"/>
                <w:sz w:val="24"/>
                <w:szCs w:val="24"/>
                <w:rtl w:val="0"/>
                <w:lang w:val="en-US"/>
              </w:rPr>
              <w:t>’</w:t>
            </w:r>
            <w:r>
              <w:rPr>
                <w:rFonts w:ascii="Times New Roman" w:hAnsi="Times New Roman"/>
                <w:sz w:val="24"/>
                <w:szCs w:val="24"/>
                <w:rtl w:val="0"/>
                <w:lang w:val="en-US"/>
              </w:rPr>
              <w:t>s disease, but they provide additional resources on some of the coexisting conditions that often come along with Parkinson</w:t>
            </w:r>
            <w:r>
              <w:rPr>
                <w:rFonts w:ascii="Times New Roman" w:hAnsi="Times New Roman" w:hint="default"/>
                <w:sz w:val="24"/>
                <w:szCs w:val="24"/>
                <w:rtl w:val="0"/>
                <w:lang w:val="en-US"/>
              </w:rPr>
              <w:t>’</w:t>
            </w:r>
            <w:r>
              <w:rPr>
                <w:rFonts w:ascii="Times New Roman" w:hAnsi="Times New Roman"/>
                <w:sz w:val="24"/>
                <w:szCs w:val="24"/>
                <w:rtl w:val="0"/>
                <w:lang w:val="en-US"/>
              </w:rPr>
              <w:t>s Disease.  With John</w:t>
            </w:r>
            <w:r>
              <w:rPr>
                <w:rFonts w:ascii="Times New Roman" w:hAnsi="Times New Roman" w:hint="default"/>
                <w:sz w:val="24"/>
                <w:szCs w:val="24"/>
                <w:rtl w:val="0"/>
                <w:lang w:val="en-US"/>
              </w:rPr>
              <w:t>’</w:t>
            </w:r>
            <w:r>
              <w:rPr>
                <w:rFonts w:ascii="Times New Roman" w:hAnsi="Times New Roman"/>
                <w:sz w:val="24"/>
                <w:szCs w:val="24"/>
                <w:rtl w:val="0"/>
                <w:lang w:val="en-US"/>
              </w:rPr>
              <w:t>s recent cognitive decline, he may be suffering from a dementia closely associated with Parkinson</w:t>
            </w:r>
            <w:r>
              <w:rPr>
                <w:rFonts w:ascii="Times New Roman" w:hAnsi="Times New Roman" w:hint="default"/>
                <w:sz w:val="24"/>
                <w:szCs w:val="24"/>
                <w:rtl w:val="0"/>
                <w:lang w:val="en-US"/>
              </w:rPr>
              <w:t>’</w:t>
            </w:r>
            <w:r>
              <w:rPr>
                <w:rFonts w:ascii="Times New Roman" w:hAnsi="Times New Roman"/>
                <w:sz w:val="24"/>
                <w:szCs w:val="24"/>
                <w:rtl w:val="0"/>
                <w:lang w:val="en-US"/>
              </w:rPr>
              <w:t>s Disease, Lewy-Body Dementia (The Michael J. Fox Foundation for Parkinson's Research, 2019). Programs like Big and Loud will help John maintain as much of his independence as possible through end of life care, along with allowing his caregivers, friends and family to have meaningful interactions with John during the time he has left (Wilson Health, 2019). The combination of hospice care, primarily funded through Medicare, with the support of the Parkinson</w:t>
            </w:r>
            <w:r>
              <w:rPr>
                <w:rFonts w:ascii="Times New Roman" w:hAnsi="Times New Roman" w:hint="default"/>
                <w:sz w:val="24"/>
                <w:szCs w:val="24"/>
                <w:rtl w:val="0"/>
                <w:lang w:val="en-US"/>
              </w:rPr>
              <w:t>’</w:t>
            </w:r>
            <w:r>
              <w:rPr>
                <w:rFonts w:ascii="Times New Roman" w:hAnsi="Times New Roman"/>
                <w:sz w:val="24"/>
                <w:szCs w:val="24"/>
                <w:rtl w:val="0"/>
                <w:lang w:val="en-US"/>
              </w:rPr>
              <w:t xml:space="preserve">s Association, will give John and his family a high level of support while provide John the care he needs for his terminal diagnosis and preexisting health conditions including is colostomy care and diabetic needs.  </w:t>
            </w:r>
          </w:p>
        </w:tc>
      </w:tr>
    </w:tbl>
    <w:p>
      <w:pPr>
        <w:pStyle w:val="Normal.0"/>
        <w:widowControl w:val="0"/>
        <w:spacing w:line="240" w:lineRule="auto"/>
        <w:rPr>
          <w:rFonts w:ascii="Arial" w:cs="Arial" w:hAnsi="Arial" w:eastAsia="Arial"/>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en-US"/>
        </w:rPr>
        <w:t xml:space="preserve">Part 2: </w:t>
      </w:r>
    </w:p>
    <w:p>
      <w:pPr>
        <w:pStyle w:val="Normal.0"/>
        <w:rPr>
          <w:rFonts w:ascii="Arial" w:cs="Arial" w:hAnsi="Arial" w:eastAsia="Arial"/>
          <w:sz w:val="20"/>
          <w:szCs w:val="20"/>
        </w:rPr>
      </w:pPr>
      <w:r>
        <w:rPr>
          <w:rFonts w:ascii="Arial" w:hAnsi="Arial"/>
          <w:b w:val="1"/>
          <w:bCs w:val="1"/>
          <w:sz w:val="20"/>
          <w:szCs w:val="20"/>
          <w:rtl w:val="0"/>
          <w:lang w:val="en-US"/>
        </w:rPr>
        <w:t xml:space="preserve">Discuss </w:t>
      </w:r>
      <w:r>
        <w:rPr>
          <w:rFonts w:ascii="Arial" w:hAnsi="Arial"/>
          <w:sz w:val="20"/>
          <w:szCs w:val="20"/>
          <w:rtl w:val="0"/>
          <w:lang w:val="en-US"/>
        </w:rPr>
        <w:t xml:space="preserve">the choices above with your team. </w:t>
      </w:r>
    </w:p>
    <w:p>
      <w:pPr>
        <w:pStyle w:val="Normal.0"/>
        <w:rPr>
          <w:rFonts w:ascii="Arial" w:cs="Arial" w:hAnsi="Arial" w:eastAsia="Arial"/>
          <w:sz w:val="20"/>
          <w:szCs w:val="20"/>
        </w:rPr>
      </w:pPr>
      <w:r>
        <w:rPr>
          <w:rFonts w:ascii="Arial" w:hAnsi="Arial"/>
          <w:b w:val="1"/>
          <w:bCs w:val="1"/>
          <w:sz w:val="20"/>
          <w:szCs w:val="20"/>
          <w:rtl w:val="0"/>
          <w:lang w:val="en-US"/>
        </w:rPr>
        <w:t>Write</w:t>
      </w:r>
      <w:r>
        <w:rPr>
          <w:rFonts w:ascii="Arial" w:hAnsi="Arial"/>
          <w:sz w:val="20"/>
          <w:szCs w:val="20"/>
          <w:rtl w:val="0"/>
          <w:lang w:val="en-US"/>
        </w:rPr>
        <w:t>, as individuals, a 700- to 1,050-world analysis of the team</w:t>
      </w:r>
      <w:r>
        <w:rPr>
          <w:rFonts w:ascii="Arial" w:hAnsi="Arial" w:hint="default"/>
          <w:sz w:val="20"/>
          <w:szCs w:val="20"/>
          <w:rtl w:val="0"/>
          <w:lang w:val="en-US"/>
        </w:rPr>
        <w:t>’</w:t>
      </w:r>
      <w:r>
        <w:rPr>
          <w:rFonts w:ascii="Arial" w:hAnsi="Arial"/>
          <w:sz w:val="20"/>
          <w:szCs w:val="20"/>
          <w:rtl w:val="0"/>
          <w:lang w:val="en-US"/>
        </w:rPr>
        <w:t>s choices. Include the strengths and weaknesses of their choices, relevant points from your team discussion, and what you would personally change if given the opportunity.</w:t>
      </w:r>
    </w:p>
    <w:p>
      <w:pPr>
        <w:pStyle w:val="Normal.0"/>
        <w:spacing w:line="480" w:lineRule="auto"/>
        <w:jc w:val="center"/>
        <w:rPr>
          <w:rFonts w:ascii="Times New Roman" w:cs="Times New Roman" w:hAnsi="Times New Roman" w:eastAsia="Times New Roman"/>
          <w:sz w:val="24"/>
          <w:szCs w:val="24"/>
        </w:rPr>
      </w:pPr>
    </w:p>
    <w:p>
      <w:pPr>
        <w:pStyle w:val="Normal.0"/>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References</w:t>
      </w:r>
    </w:p>
    <w:p>
      <w:pPr>
        <w:pStyle w:val="Normal.0"/>
        <w:spacing w:line="480" w:lineRule="auto"/>
        <w:rPr>
          <w:rFonts w:ascii="Times New Roman" w:cs="Times New Roman" w:hAnsi="Times New Roman" w:eastAsia="Times New Roman"/>
          <w:color w:val="333333"/>
          <w:sz w:val="24"/>
          <w:szCs w:val="24"/>
          <w:u w:color="333333"/>
          <w:shd w:val="clear" w:color="auto" w:fill="ffffff"/>
        </w:rPr>
      </w:pPr>
      <w:r>
        <w:rPr>
          <w:rFonts w:ascii="Times New Roman" w:hAnsi="Times New Roman"/>
          <w:color w:val="333333"/>
          <w:sz w:val="24"/>
          <w:szCs w:val="24"/>
          <w:u w:color="333333"/>
          <w:shd w:val="clear" w:color="auto" w:fill="ffffff"/>
          <w:rtl w:val="0"/>
          <w:lang w:val="en-US"/>
        </w:rPr>
        <w:t>American Hospice Foundation. (n.d.). How is Hospice Care Paid For?. Retrieved from https://americanhospice.org/learning-about-</w:t>
      </w:r>
    </w:p>
    <w:p>
      <w:pPr>
        <w:pStyle w:val="Normal.0"/>
        <w:spacing w:line="480" w:lineRule="auto"/>
        <w:ind w:firstLine="720"/>
        <w:rPr>
          <w:rFonts w:ascii="Times New Roman" w:cs="Times New Roman" w:hAnsi="Times New Roman" w:eastAsia="Times New Roman"/>
          <w:color w:val="333333"/>
          <w:sz w:val="24"/>
          <w:szCs w:val="24"/>
          <w:u w:color="333333"/>
          <w:shd w:val="clear" w:color="auto" w:fill="ffffff"/>
        </w:rPr>
      </w:pPr>
      <w:r>
        <w:rPr>
          <w:rFonts w:ascii="Times New Roman" w:hAnsi="Times New Roman"/>
          <w:color w:val="333333"/>
          <w:sz w:val="24"/>
          <w:szCs w:val="24"/>
          <w:u w:color="333333"/>
          <w:shd w:val="clear" w:color="auto" w:fill="ffffff"/>
          <w:rtl w:val="0"/>
          <w:lang w:val="en-US"/>
        </w:rPr>
        <w:t>hospice/how-is-hospice-care-paid-for/</w:t>
      </w:r>
    </w:p>
    <w:p>
      <w:pPr>
        <w:pStyle w:val="Normal.0"/>
        <w:spacing w:line="480" w:lineRule="auto"/>
        <w:rPr>
          <w:rFonts w:ascii="Times New Roman" w:cs="Times New Roman" w:hAnsi="Times New Roman" w:eastAsia="Times New Roman"/>
          <w:color w:val="333333"/>
          <w:sz w:val="24"/>
          <w:szCs w:val="24"/>
          <w:u w:color="333333"/>
          <w:shd w:val="clear" w:color="auto" w:fill="ffffff"/>
        </w:rPr>
      </w:pPr>
      <w:r>
        <w:rPr>
          <w:rFonts w:ascii="Times New Roman" w:hAnsi="Times New Roman"/>
          <w:color w:val="333333"/>
          <w:sz w:val="24"/>
          <w:szCs w:val="24"/>
          <w:u w:color="333333"/>
          <w:shd w:val="clear" w:color="auto" w:fill="ffffff"/>
          <w:rtl w:val="0"/>
          <w:lang w:val="en-US"/>
        </w:rPr>
        <w:t>Bloch, E., (2019). 7 Sources of Financial Help for You and Your Preemie. Retrieved from:</w:t>
      </w:r>
    </w:p>
    <w:p>
      <w:pPr>
        <w:pStyle w:val="Normal.0"/>
        <w:spacing w:line="480" w:lineRule="auto"/>
        <w:rPr>
          <w:rFonts w:ascii="Times New Roman" w:cs="Times New Roman" w:hAnsi="Times New Roman" w:eastAsia="Times New Roman"/>
          <w:color w:val="333333"/>
          <w:sz w:val="24"/>
          <w:szCs w:val="24"/>
          <w:u w:color="333333"/>
          <w:shd w:val="clear" w:color="auto" w:fill="ffffff"/>
        </w:rPr>
      </w:pPr>
      <w:r>
        <w:rPr>
          <w:rFonts w:ascii="Times New Roman" w:cs="Times New Roman" w:hAnsi="Times New Roman" w:eastAsia="Times New Roman"/>
          <w:color w:val="333333"/>
          <w:sz w:val="24"/>
          <w:szCs w:val="24"/>
          <w:u w:color="333333"/>
          <w:shd w:val="clear" w:color="auto" w:fill="ffffff"/>
          <w:rtl w:val="0"/>
        </w:rPr>
        <w:tab/>
        <w:t>https://www.babycenter.com/0_7-sources-of-financial-help-for-you-and-your-preemie_10371026.bc</w:t>
      </w:r>
    </w:p>
    <w:p>
      <w:pPr>
        <w:pStyle w:val="Normal.0"/>
        <w:spacing w:line="480" w:lineRule="auto"/>
        <w:rPr>
          <w:rFonts w:ascii="Times New Roman" w:cs="Times New Roman" w:hAnsi="Times New Roman" w:eastAsia="Times New Roman"/>
          <w:color w:val="333333"/>
          <w:sz w:val="24"/>
          <w:szCs w:val="24"/>
          <w:u w:color="333333"/>
          <w:shd w:val="clear" w:color="auto" w:fill="ffffff"/>
        </w:rPr>
      </w:pPr>
      <w:r>
        <w:rPr>
          <w:rFonts w:ascii="Times New Roman" w:hAnsi="Times New Roman"/>
          <w:color w:val="333333"/>
          <w:sz w:val="24"/>
          <w:szCs w:val="24"/>
          <w:u w:color="333333"/>
          <w:shd w:val="clear" w:color="auto" w:fill="ffffff"/>
          <w:rtl w:val="0"/>
          <w:lang w:val="en-US"/>
        </w:rPr>
        <w:t>Centers for Medicare &amp; Medicaid Services.</w:t>
      </w:r>
      <w:r>
        <w:rPr>
          <w:rFonts w:ascii="Times New Roman" w:hAnsi="Times New Roman" w:hint="default"/>
          <w:color w:val="333333"/>
          <w:sz w:val="24"/>
          <w:szCs w:val="24"/>
          <w:u w:color="333333"/>
          <w:shd w:val="clear" w:color="auto" w:fill="ffffff"/>
          <w:rtl w:val="0"/>
          <w:lang w:val="en-US"/>
        </w:rPr>
        <w:t> </w:t>
      </w:r>
      <w:r>
        <w:rPr>
          <w:rFonts w:ascii="Times New Roman" w:hAnsi="Times New Roman"/>
          <w:color w:val="333333"/>
          <w:sz w:val="24"/>
          <w:szCs w:val="24"/>
          <w:u w:color="333333"/>
          <w:shd w:val="clear" w:color="auto" w:fill="ffffff"/>
          <w:rtl w:val="0"/>
          <w:lang w:val="en-US"/>
        </w:rPr>
        <w:t>(2019).</w:t>
      </w:r>
      <w:r>
        <w:rPr>
          <w:rFonts w:ascii="Times New Roman" w:hAnsi="Times New Roman" w:hint="default"/>
          <w:color w:val="333333"/>
          <w:sz w:val="24"/>
          <w:szCs w:val="24"/>
          <w:u w:color="333333"/>
          <w:shd w:val="clear" w:color="auto" w:fill="ffffff"/>
          <w:rtl w:val="0"/>
          <w:lang w:val="en-US"/>
        </w:rPr>
        <w:t> </w:t>
      </w:r>
      <w:r>
        <w:rPr>
          <w:rFonts w:ascii="Times New Roman" w:hAnsi="Times New Roman"/>
          <w:color w:val="333333"/>
          <w:sz w:val="24"/>
          <w:szCs w:val="24"/>
          <w:u w:color="333333"/>
          <w:shd w:val="clear" w:color="auto" w:fill="ffffff"/>
          <w:rtl w:val="0"/>
          <w:lang w:val="en-US"/>
        </w:rPr>
        <w:t>When Will My Coverage Start?</w:t>
        <w:tab/>
        <w:tab/>
        <w:tab/>
        <w:tab/>
        <w:tab/>
        <w:tab/>
      </w:r>
      <w:r>
        <w:rPr>
          <w:rFonts w:ascii="Times New Roman" w:hAnsi="Times New Roman" w:hint="default"/>
          <w:color w:val="333333"/>
          <w:sz w:val="24"/>
          <w:szCs w:val="24"/>
          <w:u w:color="333333"/>
          <w:shd w:val="clear" w:color="auto" w:fill="ffffff"/>
          <w:rtl w:val="0"/>
          <w:lang w:val="en-US"/>
        </w:rPr>
        <w:t> </w:t>
      </w:r>
      <w:r>
        <w:rPr>
          <w:rFonts w:ascii="Times New Roman" w:hAnsi="Times New Roman"/>
          <w:color w:val="333333"/>
          <w:sz w:val="24"/>
          <w:szCs w:val="24"/>
          <w:u w:color="333333"/>
          <w:shd w:val="clear" w:color="auto" w:fill="ffffff"/>
          <w:rtl w:val="0"/>
          <w:lang w:val="en-US"/>
        </w:rPr>
        <w:t xml:space="preserve">Retrieved from </w:t>
      </w:r>
      <w:r>
        <w:rPr>
          <w:rStyle w:val="Hyperlink.0"/>
        </w:rPr>
        <w:fldChar w:fldCharType="begin" w:fldLock="0"/>
      </w:r>
      <w:r>
        <w:rPr>
          <w:rStyle w:val="Hyperlink.0"/>
        </w:rPr>
        <w:instrText xml:space="preserve"> HYPERLINK "https://www.medicare.gov/sign-up-change-plans/how-do-i-get-parts-a-b/when-will-my-coverage-start"</w:instrText>
      </w:r>
      <w:r>
        <w:rPr>
          <w:rStyle w:val="Hyperlink.0"/>
        </w:rPr>
        <w:fldChar w:fldCharType="separate" w:fldLock="0"/>
      </w:r>
      <w:r>
        <w:rPr>
          <w:rStyle w:val="Hyperlink.0"/>
          <w:rtl w:val="0"/>
          <w:lang w:val="en-US"/>
        </w:rPr>
        <w:t>https://www.medicare.gov/sign-up-change-plans/how-do-i-get-parts-a-b/when-will-my-coverage-start</w:t>
      </w:r>
      <w:r>
        <w:rPr/>
        <w:fldChar w:fldCharType="end" w:fldLock="0"/>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Healthfinder.gov., (2011). Premature Babies. Retrieved from:</w:t>
      </w:r>
    </w:p>
    <w:p>
      <w:pPr>
        <w:pStyle w:val="Normal.0"/>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https://healthfinder.gov/FindServices/SearchContext.aspx?topic=691&amp;show=1</w:t>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KetoCal (2014). Tube-Feeding and the Ketogenic Diet. Retrieved from </w:t>
      </w:r>
      <w:r>
        <w:rPr>
          <w:rStyle w:val="Hyperlink.1"/>
        </w:rPr>
        <w:fldChar w:fldCharType="begin" w:fldLock="0"/>
      </w:r>
      <w:r>
        <w:rPr>
          <w:rStyle w:val="Hyperlink.1"/>
        </w:rPr>
        <w:instrText xml:space="preserve"> HYPERLINK "https://www.myketocal.com/blog/tube-feeding-and-the-%09ketogenic-diet/"</w:instrText>
      </w:r>
      <w:r>
        <w:rPr>
          <w:rStyle w:val="Hyperlink.1"/>
        </w:rPr>
        <w:fldChar w:fldCharType="separate" w:fldLock="0"/>
      </w:r>
      <w:r>
        <w:rPr>
          <w:rStyle w:val="Hyperlink.1"/>
          <w:rtl w:val="0"/>
          <w:lang w:val="en-US"/>
        </w:rPr>
        <w:t>https://www.myketocal.com/blog/tube-feeding-and-the-</w:t>
        <w:tab/>
        <w:t>ketogenic-diet/</w:t>
      </w:r>
      <w:r>
        <w:rPr/>
        <w:fldChar w:fldCharType="end" w:fldLock="0"/>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Learning Disability Associations of America. (2019). LDA of Texas. Retrieved from </w:t>
      </w:r>
      <w:r>
        <w:rPr>
          <w:rStyle w:val="Hyperlink.1"/>
        </w:rPr>
        <w:fldChar w:fldCharType="begin" w:fldLock="0"/>
      </w:r>
      <w:r>
        <w:rPr>
          <w:rStyle w:val="Hyperlink.1"/>
        </w:rPr>
        <w:instrText xml:space="preserve"> HYPERLINK "https://ldaamerica.org/lda-chapters/texas/"</w:instrText>
      </w:r>
      <w:r>
        <w:rPr>
          <w:rStyle w:val="Hyperlink.1"/>
        </w:rPr>
        <w:fldChar w:fldCharType="separate" w:fldLock="0"/>
      </w:r>
      <w:r>
        <w:rPr>
          <w:rStyle w:val="Hyperlink.1"/>
          <w:rtl w:val="0"/>
          <w:lang w:val="en-US"/>
        </w:rPr>
        <w:t>https://ldaamerica.org/lda-chapters/texas/</w:t>
      </w:r>
      <w:r>
        <w:rPr/>
        <w:fldChar w:fldCharType="end" w:fldLock="0"/>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Michael J. Fox Foundation for Parkinson's Research, The. (2019). Cognitive Impairment in Parkinson's Disease. Retrieved from </w:t>
      </w:r>
    </w:p>
    <w:p>
      <w:pPr>
        <w:pStyle w:val="Normal.0"/>
        <w:spacing w:line="480" w:lineRule="auto"/>
        <w:ind w:firstLine="720"/>
        <w:rPr>
          <w:rFonts w:ascii="Times New Roman" w:cs="Times New Roman" w:hAnsi="Times New Roman" w:eastAsia="Times New Roman"/>
          <w:sz w:val="24"/>
          <w:szCs w:val="24"/>
        </w:rPr>
      </w:pPr>
      <w:r>
        <w:rPr>
          <w:rStyle w:val="Hyperlink.1"/>
        </w:rPr>
        <w:fldChar w:fldCharType="begin" w:fldLock="0"/>
      </w:r>
      <w:r>
        <w:rPr>
          <w:rStyle w:val="Hyperlink.1"/>
        </w:rPr>
        <w:instrText xml:space="preserve"> HYPERLINK "https://www.michaeljfox.org/understanding-parkinsons/living-with-pd/topic.php?cognitive-impairment&amp;navid=cognitive-%09impairment"</w:instrText>
      </w:r>
      <w:r>
        <w:rPr>
          <w:rStyle w:val="Hyperlink.1"/>
        </w:rPr>
        <w:fldChar w:fldCharType="separate" w:fldLock="0"/>
      </w:r>
      <w:r>
        <w:rPr>
          <w:rStyle w:val="Hyperlink.1"/>
          <w:rtl w:val="0"/>
          <w:lang w:val="en-US"/>
        </w:rPr>
        <w:t>https://www.michaeljfox.org/understanding-parkinsons/living-with-pd/topic.php?cognitive-impairment&amp;navid=cognitive-</w:t>
        <w:tab/>
        <w:t>impairment</w:t>
      </w:r>
      <w:r>
        <w:rPr/>
        <w:fldChar w:fldCharType="end" w:fldLock="0"/>
      </w:r>
      <w:r>
        <w:rPr>
          <w:rFonts w:ascii="Times New Roman" w:hAnsi="Times New Roman"/>
          <w:sz w:val="24"/>
          <w:szCs w:val="24"/>
          <w:rtl w:val="0"/>
          <w:lang w:val="en-US"/>
        </w:rPr>
        <w:t xml:space="preserve"> </w:t>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Texas Health and Human Services. Independent Living Services. (Retrieved from </w:t>
        <w:tab/>
        <w:tab/>
      </w:r>
      <w:r>
        <w:rPr>
          <w:rStyle w:val="Hyperlink.1"/>
        </w:rPr>
        <w:fldChar w:fldCharType="begin" w:fldLock="0"/>
      </w:r>
      <w:r>
        <w:rPr>
          <w:rStyle w:val="Hyperlink.1"/>
        </w:rPr>
        <w:instrText xml:space="preserve"> HYPERLINK "https://hhs.texas.gov/services/disability/independent-living-services"</w:instrText>
      </w:r>
      <w:r>
        <w:rPr>
          <w:rStyle w:val="Hyperlink.1"/>
        </w:rPr>
        <w:fldChar w:fldCharType="separate" w:fldLock="0"/>
      </w:r>
      <w:r>
        <w:rPr>
          <w:rStyle w:val="Hyperlink.1"/>
          <w:rtl w:val="0"/>
          <w:lang w:val="en-US"/>
        </w:rPr>
        <w:t>https://hhs.texas.gov/services/disability/independent-living-services</w:t>
      </w:r>
      <w:r>
        <w:rPr/>
        <w:fldChar w:fldCharType="end" w:fldLock="0"/>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United Ostomy Associations of America, INC (2019). When to Contact Your Stoma Care Nurse. Retrieved from </w:t>
        <w:tab/>
      </w:r>
      <w:r>
        <w:rPr>
          <w:rStyle w:val="Hyperlink.1"/>
        </w:rPr>
        <w:fldChar w:fldCharType="begin" w:fldLock="0"/>
      </w:r>
      <w:r>
        <w:rPr>
          <w:rStyle w:val="Hyperlink.1"/>
        </w:rPr>
        <w:instrText xml:space="preserve"> HYPERLINK "https://www.ostomy.org/tag/colostomy/"</w:instrText>
      </w:r>
      <w:r>
        <w:rPr>
          <w:rStyle w:val="Hyperlink.1"/>
        </w:rPr>
        <w:fldChar w:fldCharType="separate" w:fldLock="0"/>
      </w:r>
      <w:r>
        <w:rPr>
          <w:rStyle w:val="Hyperlink.1"/>
          <w:rtl w:val="0"/>
          <w:lang w:val="en-US"/>
        </w:rPr>
        <w:t>https://www.ostomy.org/tag/colostomy/</w:t>
      </w:r>
      <w:r>
        <w:rPr/>
        <w:fldChar w:fldCharType="end" w:fldLock="0"/>
      </w:r>
      <w:r>
        <w:rPr>
          <w:rFonts w:ascii="Times New Roman" w:hAnsi="Times New Roman"/>
          <w:sz w:val="24"/>
          <w:szCs w:val="24"/>
          <w:rtl w:val="0"/>
          <w:lang w:val="en-US"/>
        </w:rPr>
        <w:t xml:space="preserve"> </w:t>
      </w:r>
    </w:p>
    <w:p>
      <w:pPr>
        <w:pStyle w:val="Normal.0"/>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Wilson Health. (2019). Big &amp; Loud Therapy Program. Retrieved from http://www.wilsonhealth.org/services/rehabilitation-</w:t>
      </w:r>
    </w:p>
    <w:p>
      <w:pPr>
        <w:pStyle w:val="Normal.0"/>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services/big-loud-therapy-program/big-loud-therapy-program</w:t>
      </w:r>
    </w:p>
    <w:p>
      <w:pPr>
        <w:pStyle w:val="Normal.0"/>
        <w:spacing w:line="480" w:lineRule="auto"/>
        <w:rPr>
          <w:rFonts w:ascii="Times New Roman" w:cs="Times New Roman" w:hAnsi="Times New Roman" w:eastAsia="Times New Roman"/>
          <w:sz w:val="24"/>
          <w:szCs w:val="24"/>
        </w:rPr>
      </w:pPr>
    </w:p>
    <w:p>
      <w:pPr>
        <w:pStyle w:val="Normal.0"/>
        <w:spacing w:line="480" w:lineRule="auto"/>
      </w:pPr>
      <w:r>
        <w:rPr>
          <w:rFonts w:ascii="Times New Roman" w:cs="Times New Roman" w:hAnsi="Times New Roman" w:eastAsia="Times New Roman"/>
          <w:sz w:val="24"/>
          <w:szCs w:val="24"/>
        </w:rPr>
      </w:r>
    </w:p>
    <w:sectPr>
      <w:headerReference w:type="default" r:id="rId4"/>
      <w:footerReference w:type="default" r:id="rId5"/>
      <w:pgSz w:w="15840" w:h="12240" w:orient="landscape"/>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2017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widowControl w:val="0"/>
      <w:bidi w:val="0"/>
      <w:spacing w:after="0" w:line="240" w:lineRule="auto"/>
      <w:ind w:left="0" w:right="33" w:firstLine="0"/>
      <w:jc w:val="right"/>
      <w:rPr>
        <w:rFonts w:ascii="Arial" w:cs="Arial" w:hAnsi="Arial" w:eastAsia="Arial"/>
        <w:sz w:val="20"/>
        <w:szCs w:val="20"/>
        <w:rtl w:val="0"/>
      </w:rPr>
    </w:pPr>
    <w:r>
      <w:rPr>
        <w:rFonts w:ascii="Arial" w:hAnsi="Arial"/>
        <w:sz w:val="20"/>
        <w:szCs w:val="20"/>
        <w:rtl w:val="0"/>
        <w:lang w:val="en-US"/>
      </w:rPr>
      <w:t>John Allen Scenario</w:t>
    </w:r>
  </w:p>
  <w:p>
    <w:pPr>
      <w:pStyle w:val="Normal.0"/>
      <w:widowControl w:val="0"/>
      <w:bidi w:val="0"/>
      <w:spacing w:after="0" w:line="240" w:lineRule="auto"/>
      <w:ind w:left="0" w:right="0" w:firstLine="0"/>
      <w:jc w:val="left"/>
      <w:rPr>
        <w:rtl w:val="0"/>
      </w:rPr>
    </w:pPr>
    <w:r>
      <w:rPr>
        <w:rFonts w:ascii="Calibri" w:cs="Calibri" w:hAnsi="Calibri" w:eastAsia="Calibri"/>
        <w:sz w:val="22"/>
        <w:szCs w:val="22"/>
        <w:rtl w:val="0"/>
        <w:lang w:val="en-US"/>
      </w:rPr>
      <w:t>LSM/404 Version 1</w:t>
      <w:tab/>
    </w:r>
    <w:r>
      <w:rPr>
        <w:rFonts w:ascii="Arial" w:cs="Arial" w:hAnsi="Arial" w:eastAsia="Arial"/>
        <w:sz w:val="20"/>
        <w:szCs w:val="20"/>
        <w:lang w:val="en-US"/>
      </w:rPr>
      <w:fldChar w:fldCharType="begin" w:fldLock="0"/>
    </w:r>
    <w:r>
      <w:rPr>
        <w:rFonts w:ascii="Arial" w:cs="Arial" w:hAnsi="Arial" w:eastAsia="Arial"/>
        <w:sz w:val="20"/>
        <w:szCs w:val="20"/>
        <w:lang w:val="en-US"/>
      </w:rPr>
      <w:instrText xml:space="preserve"> PAGE </w:instrText>
    </w:r>
    <w:r>
      <w:rPr>
        <w:rFonts w:ascii="Arial" w:cs="Arial" w:hAnsi="Arial" w:eastAsia="Arial"/>
        <w:sz w:val="20"/>
        <w:szCs w:val="20"/>
        <w:lang w:val="en-US"/>
      </w:rPr>
      <w:fldChar w:fldCharType="separate" w:fldLock="0"/>
    </w:r>
    <w:r>
      <w:rPr>
        <w:rFonts w:ascii="Arial" w:cs="Arial" w:hAnsi="Arial" w:eastAsia="Arial"/>
        <w:sz w:val="20"/>
        <w:szCs w:val="20"/>
        <w:lang w:val="en-US"/>
      </w:rPr>
      <w:t>5</w:t>
    </w:r>
    <w:r>
      <w:rPr>
        <w:rFonts w:ascii="Arial" w:cs="Arial" w:hAnsi="Arial" w:eastAsia="Arial"/>
        <w:sz w:val="20"/>
        <w:szCs w:val="20"/>
        <w:lang w:val="en-US"/>
      </w:rPr>
      <w:fldChar w:fldCharType="end" w:fldLock="0"/>
    </w:r>
    <w:r>
      <w:rPr>
        <w:rFonts w:ascii="Arial" w:cs="Arial" w:hAnsi="Arial" w:eastAsia="Arial"/>
        <w:sz w:val="20"/>
        <w:szCs w:val="20"/>
        <w:lang w:val="en-US"/>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itle">
    <w:name w:val="Title"/>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Light" w:cs="Calibri Light" w:hAnsi="Calibri Light" w:eastAsia="Calibri Light"/>
      <w:b w:val="0"/>
      <w:bCs w:val="0"/>
      <w:i w:val="0"/>
      <w:iCs w:val="0"/>
      <w:caps w:val="0"/>
      <w:smallCaps w:val="0"/>
      <w:strike w:val="0"/>
      <w:dstrike w:val="0"/>
      <w:outline w:val="0"/>
      <w:color w:val="000000"/>
      <w:spacing w:val="-10"/>
      <w:kern w:val="28"/>
      <w:position w:val="0"/>
      <w:sz w:val="56"/>
      <w:szCs w:val="56"/>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rFonts w:ascii="Times New Roman" w:cs="Times New Roman" w:hAnsi="Times New Roman" w:eastAsia="Times New Roman"/>
      <w:sz w:val="24"/>
      <w:szCs w:val="24"/>
      <w:shd w:val="clear" w:color="auto" w:fill="ffffff"/>
    </w:rPr>
  </w:style>
  <w:style w:type="character" w:styleId="Hyperlink.1">
    <w:name w:val="Hyperlink.1"/>
    <w:basedOn w:val="Link"/>
    <w:next w:val="Hyperlink.1"/>
    <w:rPr>
      <w:rFonts w:ascii="Times New Roman" w:cs="Times New Roman" w:hAnsi="Times New Roman" w:eastAsia="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libri Light"/>
        <a:ea typeface="Calibri Light"/>
        <a:cs typeface="Calibri Light"/>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